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510" w:rsidRDefault="00D81B2C" w:rsidP="00186876">
      <w:pPr>
        <w:pStyle w:val="Heading110"/>
        <w:shd w:val="clear" w:color="auto" w:fill="auto"/>
        <w:spacing w:after="0"/>
        <w:jc w:val="center"/>
      </w:pPr>
      <w:bookmarkStart w:id="0" w:name="bookmark0"/>
      <w:r>
        <w:t xml:space="preserve">Fiktivt klimattoppmöte: </w:t>
      </w:r>
      <w:r w:rsidR="00D36FC6">
        <w:br/>
      </w:r>
      <w:r>
        <w:t>Företrädare för industri och handel</w:t>
      </w:r>
      <w:bookmarkEnd w:id="0"/>
    </w:p>
    <w:p w:rsidR="006D1734" w:rsidRPr="00D81B2C" w:rsidRDefault="006D1734" w:rsidP="00186876">
      <w:pPr>
        <w:pStyle w:val="Heading110"/>
        <w:shd w:val="clear" w:color="auto" w:fill="auto"/>
        <w:spacing w:after="0"/>
        <w:jc w:val="both"/>
        <w:rPr>
          <w:lang w:val="en-GB"/>
        </w:rPr>
      </w:pPr>
    </w:p>
    <w:p w:rsidR="00097510" w:rsidRPr="00D81B2C" w:rsidRDefault="00D81B2C">
      <w:pPr>
        <w:pStyle w:val="Bodytext30"/>
        <w:pBdr>
          <w:top w:val="single" w:sz="4" w:space="1" w:color="auto"/>
        </w:pBdr>
        <w:shd w:val="clear" w:color="auto" w:fill="auto"/>
        <w:tabs>
          <w:tab w:val="left" w:pos="1440"/>
        </w:tabs>
        <w:spacing w:before="0"/>
      </w:pPr>
      <w:r>
        <w:t>Till:</w:t>
      </w:r>
      <w:r>
        <w:tab/>
        <w:t>Chefsförhandlarna för industri och handel</w:t>
      </w:r>
    </w:p>
    <w:p w:rsidR="00097510" w:rsidRPr="00D81B2C" w:rsidRDefault="00D81B2C">
      <w:pPr>
        <w:pStyle w:val="Bodytext30"/>
        <w:shd w:val="clear" w:color="auto" w:fill="auto"/>
        <w:tabs>
          <w:tab w:val="left" w:pos="1440"/>
        </w:tabs>
        <w:spacing w:before="0" w:after="120"/>
      </w:pPr>
      <w:r>
        <w:t>Ärende:</w:t>
      </w:r>
      <w:r>
        <w:tab/>
        <w:t>Förberedelse inför klimattoppmötet</w:t>
      </w:r>
    </w:p>
    <w:p w:rsidR="00097510" w:rsidRPr="00D81B2C" w:rsidRDefault="00D81B2C" w:rsidP="00186876">
      <w:pPr>
        <w:pStyle w:val="Bodytext20"/>
        <w:shd w:val="clear" w:color="auto" w:fill="auto"/>
        <w:spacing w:before="0"/>
        <w:ind w:firstLine="0"/>
        <w:jc w:val="both"/>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rStyle w:val="Bodytext21"/>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097510" w:rsidRPr="00D81B2C" w:rsidRDefault="00D81B2C" w:rsidP="00186876">
      <w:pPr>
        <w:pStyle w:val="Bodytext20"/>
        <w:shd w:val="clear" w:color="auto" w:fill="auto"/>
        <w:spacing w:before="0"/>
        <w:ind w:firstLine="0"/>
        <w:jc w:val="both"/>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rStyle w:val="Bodytext21"/>
        </w:rPr>
        <w:t>vetenskapliga beläggen</w:t>
      </w:r>
      <w:r>
        <w:t xml:space="preserve"> är entydiga: en</w:t>
      </w:r>
      <w:r w:rsidR="00D36FC6">
        <w:t> </w:t>
      </w:r>
      <w:r>
        <w:t>uppvärmning över denna gräns kommer att få katastrofala och oåterkalleliga följder som hotar människors liv, hälsa och välstånd i alla länder.</w:t>
      </w:r>
    </w:p>
    <w:p w:rsidR="00097510" w:rsidRPr="00D81B2C" w:rsidRDefault="00D81B2C" w:rsidP="00186876">
      <w:pPr>
        <w:pStyle w:val="Bodytext20"/>
        <w:shd w:val="clear" w:color="auto" w:fill="auto"/>
        <w:spacing w:before="0" w:after="140"/>
        <w:ind w:firstLine="0"/>
        <w:jc w:val="both"/>
      </w:pPr>
      <w:r>
        <w:t>I er grupp ingår verkställande direktörer för de stora industrier och bolag runt om i världen som driver på energiförbrukningen, bland annat fordonstillverkare, flygbolag, rederier och fraktföretag, tillverkare av industri- och konsumentvaror, byggbranschen, bostäder, kommersiella fastigheter, konsument</w:t>
      </w:r>
      <w:r w:rsidR="00D36FC6">
        <w:softHyphen/>
      </w:r>
      <w:r>
        <w:t>produkter, informationsteknik och andra stora bolag.</w:t>
      </w:r>
    </w:p>
    <w:p w:rsidR="00097510" w:rsidRPr="00D81B2C" w:rsidRDefault="00D81B2C">
      <w:pPr>
        <w:pStyle w:val="Bodytext20"/>
        <w:shd w:val="clear" w:color="auto" w:fill="auto"/>
        <w:spacing w:before="0" w:after="100" w:line="244" w:lineRule="exact"/>
        <w:ind w:firstLine="0"/>
        <w:jc w:val="both"/>
      </w:pPr>
      <w:r>
        <w:t>Era politiska prioriteringar anges nedan. Ni kan dock föreslå ny politik, eller blockera all tillgänglig politik.</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Håll energipriserna låga. </w:t>
      </w:r>
      <w:r>
        <w:t>Produktkostnaderna kommer att öka om energipriserna stiger, vilket gör människor mindre benägna att köpa era produkter. Håll energipriserna låga genom att bekämpa energiskatter och höga koldioxidpriser, samtidigt som ni förespråkar energisubventioner. Tänk över hur den politik som ni och de andra grupperna föreslår skulle påverka energikostnaderna.</w:t>
      </w:r>
    </w:p>
    <w:p w:rsidR="00097510" w:rsidRPr="00D81B2C"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Öka transporternas, byggnadernas och industrins energieffektivitet. </w:t>
      </w:r>
      <w:r>
        <w:t>Energieffektivitet innebär att man använder mindre energi för att tillhandahålla samma tjänster eller produktion av varor. Att öka energieffektiviteten ökar ibland initialkostnaderna men minskar driftskostnaderna, vilket ger besparingar på lång sikt. Effektivitetsförbättringar kan vara ett attraktivt alternativ för att minska utsläppen av växthusgaser. Ni motsätter er dock strategier och föreskrifter som skulle kräva markanta effektivitetshöjningar eftersom ni vill undvika snabba och kostsamma förändringar av era produkter och processer.</w:t>
      </w:r>
    </w:p>
    <w:p w:rsidR="00097510" w:rsidRDefault="00D81B2C" w:rsidP="00186876">
      <w:pPr>
        <w:pStyle w:val="Bodytext20"/>
        <w:numPr>
          <w:ilvl w:val="0"/>
          <w:numId w:val="1"/>
        </w:numPr>
        <w:shd w:val="clear" w:color="auto" w:fill="auto"/>
        <w:tabs>
          <w:tab w:val="left" w:pos="362"/>
        </w:tabs>
        <w:spacing w:before="0"/>
        <w:ind w:left="400"/>
        <w:jc w:val="both"/>
      </w:pPr>
      <w:r>
        <w:rPr>
          <w:rStyle w:val="Bodytext2Bold"/>
        </w:rPr>
        <w:t xml:space="preserve">Utforska elektrifiering av transporter, byggnader och industri. </w:t>
      </w:r>
      <w:r>
        <w:t>Dagens transportindustri är till stor del beroende av olja som bränsle i personbilar, lastbilar, fartyg, tåg och flygplan. Dessutom orsakas växthusgasutsläppen från byggnader främst genom att fossila bränslen förbränns för uppvärmning. Om transport-, uppvärmnings- och industriprocesserna elektrifieras skulle de i</w:t>
      </w:r>
      <w:r w:rsidR="00D36FC6">
        <w:t> </w:t>
      </w:r>
      <w:bookmarkStart w:id="1" w:name="_GoBack"/>
      <w:bookmarkEnd w:id="1"/>
      <w:r>
        <w:t xml:space="preserve">slutändan kunna drivas med förnybar energi, om dessa </w:t>
      </w:r>
      <w:proofErr w:type="spellStart"/>
      <w:r>
        <w:t>elkällor</w:t>
      </w:r>
      <w:proofErr w:type="spellEnd"/>
      <w:r>
        <w:t xml:space="preserve"> är tillförlitliga och billigare än fossil energi.</w:t>
      </w:r>
      <w:r w:rsidR="00D36FC6">
        <w:rPr>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36FC6" w:rsidRPr="00260E65" w:rsidRDefault="00D36FC6">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D36FC6" w:rsidRPr="00260E65" w:rsidRDefault="00D36FC6">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p>
    <w:p w:rsidR="00D36FC6" w:rsidRDefault="00D36FC6">
      <w:pPr>
        <w:rPr>
          <w:rStyle w:val="Bodytext2Bold"/>
        </w:rPr>
      </w:pPr>
      <w:r>
        <w:rPr>
          <w:rStyle w:val="Bodytext2Bold"/>
        </w:rPr>
        <w:br w:type="page"/>
      </w:r>
    </w:p>
    <w:p w:rsidR="00097510" w:rsidRPr="00D81B2C" w:rsidRDefault="00D81B2C" w:rsidP="00186876">
      <w:pPr>
        <w:pStyle w:val="Bodytext20"/>
        <w:numPr>
          <w:ilvl w:val="0"/>
          <w:numId w:val="1"/>
        </w:numPr>
        <w:shd w:val="clear" w:color="auto" w:fill="auto"/>
        <w:tabs>
          <w:tab w:val="left" w:pos="362"/>
        </w:tabs>
        <w:spacing w:before="0" w:after="140"/>
        <w:ind w:left="400"/>
        <w:jc w:val="both"/>
      </w:pPr>
      <w:r>
        <w:rPr>
          <w:rStyle w:val="Bodytext2Bold"/>
        </w:rPr>
        <w:lastRenderedPageBreak/>
        <w:t xml:space="preserve">Uppmuntra åtgärder som inte direkt påverkar er bransch. </w:t>
      </w:r>
      <w:r>
        <w:t>Även om ni inser att klimatförändringarna är farliga måste ni också skydda värdet för aktieägarna. Ni förespråkar därför en politik som skulle kunna minska växthusgasutsläppen utan att skada era branscher. Även om koldioxid från fossilbränsleanvändning bidrar mest till klimatförändringarna, finns det andra kraftfulla växthusgaser, bland annat metan (CH</w:t>
      </w:r>
      <w:r>
        <w:rPr>
          <w:vertAlign w:val="subscript"/>
        </w:rPr>
        <w:t>4</w:t>
      </w:r>
      <w:r>
        <w:t>) och dikväveoxid (N</w:t>
      </w:r>
      <w:r>
        <w:rPr>
          <w:vertAlign w:val="subscript"/>
        </w:rPr>
        <w:t>2</w:t>
      </w:r>
      <w:r>
        <w:t>O), vars inverkan ökar. De globala jord- och skogsbruksmetoderna bidrar i hög grad till utsläppen av dessa gaser. Ni</w:t>
      </w:r>
      <w:r w:rsidR="00D36FC6">
        <w:t> </w:t>
      </w:r>
      <w:r>
        <w:t>stöder strategier för att minska dessa andra växthusgaser, inklusive utsläpp från markanvändning, jordbruk och skogsbruk. Ni stöder insatser för att minska skogsavverkningen och för att plantera ny skog (skogsodling).</w:t>
      </w:r>
    </w:p>
    <w:p w:rsidR="00097510" w:rsidRPr="00D81B2C" w:rsidRDefault="00D81B2C" w:rsidP="00186876">
      <w:pPr>
        <w:pStyle w:val="Bodytext50"/>
        <w:keepNext/>
        <w:widowControl/>
        <w:shd w:val="clear" w:color="auto" w:fill="auto"/>
        <w:spacing w:before="0" w:after="100"/>
      </w:pPr>
      <w:r>
        <w:t>Fler frågor att beakta</w:t>
      </w:r>
    </w:p>
    <w:p w:rsidR="00097510" w:rsidRPr="00D81B2C" w:rsidRDefault="00D81B2C" w:rsidP="00186876">
      <w:pPr>
        <w:pStyle w:val="Bodytext20"/>
        <w:shd w:val="clear" w:color="auto" w:fill="auto"/>
        <w:spacing w:before="0"/>
        <w:ind w:firstLine="0"/>
        <w:jc w:val="both"/>
      </w:pPr>
      <w:r>
        <w:t>De industrier som ni företräder växte fram i en tid då energin var billig, och era affärsmodeller bygger på att bränslet och elektriciteten kommer att förbli billig och riklig. En kraftigt ökad energieffektivitet skulle kräva betydande kulturella förändringar och nya resurser. Vissa av era nyckelaktörer, däribland etablerade biltillverkare, flygbolag, rederier och fraktbolag, skulle kunna komma att skadas av politiska åtgärder som höjer bränslepriserna. Vissa bolag kanske inte överlever. Inom andra sektorer kan energieffektiva produkter säljas över det nominella värdet och generera vinst. Energieffektivitet inte bara minskar energiefterfrågan utan kan också förbättra samhällets motståndskraft mot klimatrelaterade katastrofer. En välisolerad bostad behåller exempelvis värmen även om en storm slår ut elnätet. Ekonomins energiintensitet (energi som används per BNP-enhet i fasta priser) minskar med omkring 1,3 % per år, en trend som förväntas fortsätta under de kommande årtiondena. En del analytiker menar att energiintensiteten skulle kunna minska med så mycket som 5–7 % per år (till viss kostnad och inte inom alla branscher).</w:t>
      </w:r>
    </w:p>
    <w:p w:rsidR="00097510" w:rsidRPr="00D81B2C" w:rsidRDefault="00D81B2C" w:rsidP="00186876">
      <w:pPr>
        <w:pStyle w:val="Bodytext20"/>
        <w:shd w:val="clear" w:color="auto" w:fill="auto"/>
        <w:spacing w:before="0"/>
        <w:ind w:firstLine="0"/>
        <w:jc w:val="both"/>
      </w:pPr>
      <w:r>
        <w:t>Ledare inom er bransch rapporterar att många energieffektivitetsprojekt har korta återbetalningstider och ger ett positivt nettonuvärde, med låg risk. Innovativa finansieringsmekanismer kan återinvestera besparingar från lägre energikostnader för att finansiera nya energieffektivitetsprojekt, vilket gör sådana projekt ekonomiskt attraktiva för berörda parter.</w:t>
      </w:r>
    </w:p>
    <w:p w:rsidR="00097510" w:rsidRPr="00D81B2C" w:rsidRDefault="00D81B2C" w:rsidP="00186876">
      <w:pPr>
        <w:pStyle w:val="Bodytext20"/>
        <w:shd w:val="clear" w:color="auto" w:fill="auto"/>
        <w:spacing w:before="0"/>
        <w:ind w:firstLine="0"/>
        <w:jc w:val="both"/>
      </w:pPr>
      <w:r>
        <w:t>Den globala byggsektorn växer i en aldrig tidigare skådad takt, som drivs på av den globala befolkningsökningen och den ekonomiska tillväxten. Under de kommande 40 åren förväntas världen bebygga 230 miljarder kvadratmeter med nybyggnationer, vilket innebär att en yta motsvarande Paris storlek tillförs planeten varje vecka. Ny politik och nya incitament behövs för att påskynda energieffektiviteten och användningen av förnybar energi i den globala byggsektorn och för att anpassa befintliga byggnader. Nya byggnader och energianpassning av befintliga byggnader kan minska energiförbrukningen med 25–80 % eller mer, och ”nollenergihus” är nu både möjliga och lönsamma på många områden. Energiintensiva industrier som järn, stål och cement har blivit mer effektiva genom att använda ny utrustning och återanvända spillvärme. Effektiva, korrekt dimensionerade motorer och drivsystem kan ge energibesparingar på 20–25 %. Byggnadernas, fordonens och infrastrukturens långa liv begränsar dock förbättringstakten och understryker vikten av anpassningar, inte bara nyinvesteringar.</w:t>
      </w:r>
    </w:p>
    <w:p w:rsidR="00097510" w:rsidRDefault="00D81B2C" w:rsidP="00186876">
      <w:pPr>
        <w:pStyle w:val="Bodytext20"/>
        <w:shd w:val="clear" w:color="auto" w:fill="auto"/>
        <w:spacing w:before="0"/>
        <w:ind w:firstLine="0"/>
        <w:jc w:val="both"/>
      </w:pPr>
      <w:r>
        <w:t>Trots denna potential måste ni vara vaksamma mot politik som innebär nya kostnader för att göra affärer, inklusive stora prishöjningar på den energi som ni förlitar er på. Ni är en grupp som alltid har förlitat sig på innovation och lockas därför kanske av tekniska lösningar för att minska utsläppen av växthusgaser, och ni stöder statliga subventioner som skapar nya affärsmöjligheter.</w:t>
      </w:r>
    </w:p>
    <w:p w:rsidR="00D36FC6" w:rsidRDefault="00D36FC6">
      <w:pPr>
        <w:rPr>
          <w:sz w:val="22"/>
          <w:szCs w:val="22"/>
        </w:rPr>
      </w:pPr>
      <w:r>
        <w:br w:type="page"/>
      </w:r>
    </w:p>
    <w:p w:rsidR="00097510" w:rsidRPr="00D81B2C" w:rsidRDefault="00D81B2C" w:rsidP="00186876">
      <w:pPr>
        <w:pStyle w:val="Bodytext20"/>
        <w:shd w:val="clear" w:color="auto" w:fill="auto"/>
        <w:spacing w:before="0" w:after="0"/>
        <w:ind w:firstLine="0"/>
        <w:jc w:val="both"/>
      </w:pPr>
      <w:r>
        <w:lastRenderedPageBreak/>
        <w:t>Ni inser att de globala växthusgasutsläppen måste begränsas för att undvika de värsta effekterna av klimatförändringarna. Stigande havsnivåer, mer extrema väderförhållanden och efterföljande geopolitiska rubbningar medför allvarliga risker för era leveranskedjor, kunder och anställda. Fler klimatskador ökar också sannolikheten för extrema strategier och föreskrifter som skulle kunna höja energikostnaderna och skada era branscher. Samtidigt som ni måste agera för att förhindra strategier och föreskrifter som på ett orättvist sätt tynger era branscher behöver ni även sträva efter att minska växthusgasutsläppen och bromsa klimatförändringarna så att ni kan förbli lönsamma – och överleva – i</w:t>
      </w:r>
      <w:r w:rsidR="00D36FC6">
        <w:t> </w:t>
      </w:r>
      <w:r>
        <w:t>en varmare värld. Som Paul Polman, vd för Unilever, uppges ha sagt: ”</w:t>
      </w:r>
      <w:r>
        <w:rPr>
          <w:rStyle w:val="Bodytext21"/>
        </w:rPr>
        <w:t>det finns inga vinster på en död planet</w:t>
      </w:r>
      <w:r>
        <w:t>”.</w:t>
      </w:r>
    </w:p>
    <w:p w:rsidR="00D81B2C" w:rsidRPr="00D81B2C" w:rsidRDefault="00D81B2C">
      <w:pPr>
        <w:pStyle w:val="Bodytext20"/>
        <w:shd w:val="clear" w:color="auto" w:fill="auto"/>
        <w:spacing w:before="0" w:after="0"/>
        <w:ind w:firstLine="0"/>
        <w:rPr>
          <w:lang w:val="en-GB"/>
        </w:rPr>
      </w:pPr>
    </w:p>
    <w:p w:rsidR="00D81B2C" w:rsidRPr="00D81B2C" w:rsidRDefault="00D81B2C">
      <w:pPr>
        <w:jc w:val="center"/>
      </w:pPr>
      <w:r>
        <w:t>_____________</w:t>
      </w:r>
    </w:p>
    <w:p w:rsidR="00D81B2C" w:rsidRPr="00D81B2C" w:rsidRDefault="00D81B2C">
      <w:pPr>
        <w:pStyle w:val="Bodytext20"/>
        <w:shd w:val="clear" w:color="auto" w:fill="auto"/>
        <w:spacing w:before="0" w:after="0"/>
        <w:ind w:firstLine="0"/>
        <w:rPr>
          <w:lang w:val="en-GB"/>
        </w:rPr>
      </w:pPr>
    </w:p>
    <w:p w:rsidR="00D81B2C" w:rsidRPr="00D81B2C" w:rsidRDefault="00D81B2C">
      <w:pPr>
        <w:pStyle w:val="Bodytext20"/>
        <w:shd w:val="clear" w:color="auto" w:fill="auto"/>
        <w:spacing w:before="0" w:after="0"/>
        <w:ind w:firstLine="0"/>
        <w:rPr>
          <w:lang w:val="en-GB"/>
        </w:rPr>
      </w:pPr>
    </w:p>
    <w:sectPr w:rsidR="00D81B2C" w:rsidRPr="00D81B2C" w:rsidSect="00186876">
      <w:footerReference w:type="default" r:id="rId7"/>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4FC" w:rsidRDefault="00D81B2C">
      <w:r>
        <w:separator/>
      </w:r>
    </w:p>
  </w:endnote>
  <w:endnote w:type="continuationSeparator" w:id="0">
    <w:p w:rsidR="006C74FC" w:rsidRDefault="00D81B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1B2C" w:rsidRPr="00D81B2C" w:rsidRDefault="00D81B2C" w:rsidP="00D81B2C">
    <w:pPr>
      <w:pStyle w:val="Bodytext20"/>
      <w:shd w:val="clear" w:color="auto" w:fill="auto"/>
      <w:spacing w:before="0" w:after="0"/>
      <w:ind w:firstLine="0"/>
      <w:rPr>
        <w:i/>
        <w:sz w:val="20"/>
        <w:szCs w:val="20"/>
      </w:rPr>
    </w:pPr>
    <w:r>
      <w:rPr>
        <w:i/>
        <w:sz w:val="20"/>
        <w:szCs w:val="20"/>
      </w:rPr>
      <w:t xml:space="preserve">Framtaget av </w:t>
    </w:r>
    <w:proofErr w:type="spellStart"/>
    <w:r>
      <w:rPr>
        <w:i/>
        <w:sz w:val="20"/>
        <w:szCs w:val="20"/>
      </w:rPr>
      <w:t>Climate</w:t>
    </w:r>
    <w:proofErr w:type="spellEnd"/>
    <w:r>
      <w:rPr>
        <w:i/>
        <w:sz w:val="20"/>
        <w:szCs w:val="20"/>
      </w:rPr>
      <w:t xml:space="preserve"> </w:t>
    </w:r>
    <w:proofErr w:type="spellStart"/>
    <w:r>
      <w:rPr>
        <w:i/>
        <w:sz w:val="20"/>
        <w:szCs w:val="20"/>
      </w:rPr>
      <w:t>Interactive</w:t>
    </w:r>
    <w:proofErr w:type="spellEnd"/>
    <w:r>
      <w:rPr>
        <w:i/>
        <w:sz w:val="20"/>
        <w:szCs w:val="20"/>
      </w:rPr>
      <w:t xml:space="preserve">, MIT </w:t>
    </w:r>
    <w:proofErr w:type="spellStart"/>
    <w:r>
      <w:rPr>
        <w:i/>
        <w:sz w:val="20"/>
        <w:szCs w:val="20"/>
      </w:rPr>
      <w:t>Sloan</w:t>
    </w:r>
    <w:proofErr w:type="spellEnd"/>
    <w:r>
      <w:rPr>
        <w:i/>
        <w:sz w:val="20"/>
        <w:szCs w:val="20"/>
      </w:rPr>
      <w:t xml:space="preserve"> </w:t>
    </w:r>
    <w:proofErr w:type="spellStart"/>
    <w:r>
      <w:rPr>
        <w:i/>
        <w:sz w:val="20"/>
        <w:szCs w:val="20"/>
      </w:rPr>
      <w:t>School</w:t>
    </w:r>
    <w:proofErr w:type="spellEnd"/>
    <w:r>
      <w:rPr>
        <w:i/>
        <w:sz w:val="20"/>
        <w:szCs w:val="20"/>
      </w:rPr>
      <w:t xml:space="preserve"> </w:t>
    </w:r>
    <w:proofErr w:type="spellStart"/>
    <w:r>
      <w:rPr>
        <w:i/>
        <w:sz w:val="20"/>
        <w:szCs w:val="20"/>
      </w:rPr>
      <w:t>of</w:t>
    </w:r>
    <w:proofErr w:type="spellEnd"/>
    <w:r>
      <w:rPr>
        <w:i/>
        <w:sz w:val="20"/>
        <w:szCs w:val="20"/>
      </w:rPr>
      <w:t xml:space="preserve"> Management </w:t>
    </w:r>
    <w:proofErr w:type="spellStart"/>
    <w:r>
      <w:rPr>
        <w:i/>
        <w:sz w:val="20"/>
        <w:szCs w:val="20"/>
      </w:rPr>
      <w:t>Sustainability</w:t>
    </w:r>
    <w:proofErr w:type="spellEnd"/>
    <w:r>
      <w:rPr>
        <w:i/>
        <w:sz w:val="20"/>
        <w:szCs w:val="20"/>
      </w:rPr>
      <w:t xml:space="preserve"> </w:t>
    </w:r>
    <w:proofErr w:type="spellStart"/>
    <w:r>
      <w:rPr>
        <w:i/>
        <w:sz w:val="20"/>
        <w:szCs w:val="20"/>
      </w:rPr>
      <w:t>Initiative</w:t>
    </w:r>
    <w:proofErr w:type="spellEnd"/>
    <w:r>
      <w:rPr>
        <w:i/>
        <w:sz w:val="20"/>
        <w:szCs w:val="20"/>
      </w:rPr>
      <w:t xml:space="preserve">, ESB Business </w:t>
    </w:r>
    <w:proofErr w:type="spellStart"/>
    <w:r>
      <w:rPr>
        <w:i/>
        <w:sz w:val="20"/>
        <w:szCs w:val="20"/>
      </w:rPr>
      <w:t>School</w:t>
    </w:r>
    <w:proofErr w:type="spellEnd"/>
    <w:r>
      <w:rPr>
        <w:i/>
        <w:sz w:val="20"/>
        <w:szCs w:val="20"/>
      </w:rPr>
      <w:t xml:space="preserve"> och UMAS Lowell </w:t>
    </w:r>
    <w:proofErr w:type="spellStart"/>
    <w:r>
      <w:rPr>
        <w:i/>
        <w:sz w:val="20"/>
        <w:szCs w:val="20"/>
      </w:rPr>
      <w:t>Climate</w:t>
    </w:r>
    <w:proofErr w:type="spellEnd"/>
    <w:r>
      <w:rPr>
        <w:i/>
        <w:sz w:val="20"/>
        <w:szCs w:val="20"/>
      </w:rPr>
      <w:t xml:space="preserve"> Change </w:t>
    </w:r>
    <w:proofErr w:type="spellStart"/>
    <w:r>
      <w:rPr>
        <w:i/>
        <w:sz w:val="20"/>
        <w:szCs w:val="20"/>
      </w:rPr>
      <w:t>Initiative</w:t>
    </w:r>
    <w:proofErr w:type="spellEnd"/>
    <w:r>
      <w:rPr>
        <w:i/>
        <w:sz w:val="20"/>
        <w:szCs w:val="20"/>
      </w:rPr>
      <w:t xml:space="preserve">. Senast uppdaterat i september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510" w:rsidRDefault="00097510"/>
  </w:footnote>
  <w:footnote w:type="continuationSeparator" w:id="0">
    <w:p w:rsidR="00097510" w:rsidRDefault="0009751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510"/>
    <w:rsid w:val="00097510"/>
    <w:rsid w:val="00186876"/>
    <w:rsid w:val="006C74FC"/>
    <w:rsid w:val="006D1734"/>
    <w:rsid w:val="00A54829"/>
    <w:rsid w:val="00CC0C1E"/>
    <w:rsid w:val="00D36FC6"/>
    <w:rsid w:val="00D81B2C"/>
    <w:rsid w:val="00E232AA"/>
    <w:rsid w:val="00ED0390"/>
    <w:rsid w:val="00ED344D"/>
    <w:rsid w:val="00F25364"/>
    <w:rsid w:val="00FD56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FF248"/>
  <w15:docId w15:val="{AB36D87C-1E4E-438A-BCD1-A611A19BBB9F}"/>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E"/>
      <w:spacing w:val="0"/>
      <w:w w:val="100"/>
      <w:position w:val="0"/>
      <w:sz w:val="22"/>
      <w:szCs w:val="22"/>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0" w:line="402" w:lineRule="exact"/>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0"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after="120" w:line="269" w:lineRule="exact"/>
      <w:ind w:hanging="400"/>
    </w:pPr>
    <w:rPr>
      <w:sz w:val="22"/>
      <w:szCs w:val="22"/>
    </w:rPr>
  </w:style>
  <w:style w:type="paragraph" w:customStyle="1" w:styleId="Bodytext40">
    <w:name w:val="Body text|4"/>
    <w:basedOn w:val="Normal"/>
    <w:link w:val="Bodytext4"/>
    <w:pPr>
      <w:shd w:val="clear" w:color="auto" w:fill="FFFFFF"/>
      <w:spacing w:before="48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rPr>
  </w:style>
  <w:style w:type="paragraph" w:styleId="BalloonText">
    <w:name w:val="Balloon Text"/>
    <w:basedOn w:val="Normal"/>
    <w:link w:val="BalloonTextChar"/>
    <w:uiPriority w:val="99"/>
    <w:semiHidden/>
    <w:unhideWhenUsed/>
    <w:rsid w:val="00186876"/>
    <w:rPr>
      <w:rFonts w:ascii="Tahoma" w:hAnsi="Tahoma" w:cs="Tahoma"/>
      <w:sz w:val="16"/>
      <w:szCs w:val="16"/>
    </w:rPr>
  </w:style>
  <w:style w:type="character" w:customStyle="1" w:styleId="BalloonTextChar">
    <w:name w:val="Balloon Text Char"/>
    <w:basedOn w:val="DefaultParagraphFont"/>
    <w:link w:val="BalloonText"/>
    <w:uiPriority w:val="99"/>
    <w:semiHidden/>
    <w:rsid w:val="0018687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CTJJHAUHWN5E-644613129-2913</_dlc_DocId>
    <_dlc_DocIdUrl xmlns="bfc960a6-20da-4c94-8684-71380fca093b">
      <Url>http://dm2016/eesc/2019/_layouts/15/DocIdRedir.aspx?ID=CTJJHAUHWN5E-644613129-2913</Url>
      <Description>CTJJHAUHWN5E-644613129-2913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65</Value>
      <Value>162</Value>
      <Value>72</Value>
      <Value>246</Value>
      <Value>154</Value>
      <Value>64</Value>
      <Value>152</Value>
      <Value>62</Value>
      <Value>60</Value>
      <Value>59</Value>
      <Value>58</Value>
      <Value>56</Value>
      <Value>55</Value>
      <Value>52</Value>
      <Value>49</Value>
      <Value>48</Value>
      <Value>46</Value>
      <Value>45</Value>
      <Value>38</Value>
      <Value>63</Value>
      <Value>153</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PL</TermName>
          <TermId xmlns="http://schemas.microsoft.com/office/infopath/2007/PartnerControls">1e03da61-4678-4e07-b136-b5024ca9197b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03A5E554-53AF-44A9-90E7-2585DF029807}"/>
</file>

<file path=customXml/itemProps2.xml><?xml version="1.0" encoding="utf-8"?>
<ds:datastoreItem xmlns:ds="http://schemas.openxmlformats.org/officeDocument/2006/customXml" ds:itemID="{ABA64517-027D-48F7-8762-DC8A9A9FF2DB}"/>
</file>

<file path=customXml/itemProps3.xml><?xml version="1.0" encoding="utf-8"?>
<ds:datastoreItem xmlns:ds="http://schemas.openxmlformats.org/officeDocument/2006/customXml" ds:itemID="{E5CCAC3B-34EA-4DED-8532-6D355B34EA9B}"/>
</file>

<file path=customXml/itemProps4.xml><?xml version="1.0" encoding="utf-8"?>
<ds:datastoreItem xmlns:ds="http://schemas.openxmlformats.org/officeDocument/2006/customXml" ds:itemID="{18220BFF-7732-4811-9CCE-6D6999C58BCB}"/>
</file>

<file path=docProps/app.xml><?xml version="1.0" encoding="utf-8"?>
<Properties xmlns="http://schemas.openxmlformats.org/officeDocument/2006/extended-properties" xmlns:vt="http://schemas.openxmlformats.org/officeDocument/2006/docPropsVTypes">
  <Template>Styles</Template>
  <TotalTime>4</TotalTime>
  <Pages>3</Pages>
  <Words>1200</Words>
  <Characters>6840</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5 - Företrädare för industri och handel</dc:title>
  <dc:subject>Informationsdokument</dc:subject>
  <cp:keywords>EESC-2019-05163-04-00-INFO-TRA-EN</cp:keywords>
  <dc:description>Rapporteur:  - Original language: EN - Date of document: 10/12/2019 - Date of meeting:  - External documents:  - Administrator: MME LAHOUSSE Chloé</dc:description>
  <cp:lastModifiedBy>Maria Pallvid</cp:lastModifiedBy>
  <cp:revision>5</cp:revision>
  <dcterms:created xsi:type="dcterms:W3CDTF">2019-11-15T10:30:00Z</dcterms:created>
  <dcterms:modified xsi:type="dcterms:W3CDTF">2019-12-10T09:39:00Z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a2b8c775-2459-49b9-b492-5b192efdde12</vt:lpwstr>
  </property>
  <property fmtid="{D5CDD505-2E9C-101B-9397-08002B2CF9AE}" pid="9" name="AvailableTranslations">
    <vt:lpwstr>10;#FR|d2afafd3-4c81-4f60-8f52-ee33f2f54ff3;#21;#IT|0774613c-01ed-4e5d-a25d-11d2388de825;#152;#MK|34ce48bb-063e-4413-a932-50853dc71c5c;#49;#EL|6d4f4d51-af9b-4650-94b4-4276bee85c91;#14;#DE|f6b31e5a-26fa-4935-b661-318e46daf27e;#46;#CS|72f9705b-0217-4fd3-bea2-cbc7ed80e26e;#65;#ET|ff6c3f4c-b02c-4c3c-ab07-2c37995a7a0a;#62;#FI|87606a43-d45f-42d6-b8c9-e1a3457db5b7;#60;#HU|6b229040-c589-4408-b4c1-4285663d20a8;#52;#DA|5d49c027-8956-412b-aa16-e85a0f96ad0e;#59;#HR|2f555653-ed1a-4fe6-8362-9082d95989e5;#38;#SV|c2ed69e7-a339-43d7-8f22-d93680a92aa0;#58;#LV|46f7e311-5d9f-4663-b433-18aeccb7ace7;#72;#GA|762d2456-c427-4ecb-b312-af3dad8e258c;#63;#MT|7df99101-6854-4a26-b53a-b88c0da02c26;#48;#LT|a7ff5ce7-6123-4f68-865a-a57c31810414;#154;#SQ|5ac17240-8d11-45ec-9893-659b209d7a00;#162;#TR|6e4ededd-04c4-4fa0-94e0-1028050302d5;#25;#SK|46d9fce0-ef79-4f71-b89b-cd6aa82426b8;#64;#PT|50ccc04a-eadd-42ae-a0cb-acaf45f812ba;#56;#SL|98a412ae-eb01-49e9-ae3d-585a81724cfc;#55;#BG|1a1b3951-7821-4e6a-85f5-5673fc08bd2c;#153;#SR|7f3a1d13-b985-4bfd-981e-afe31377edff;#17;#ES|e7a6b05b-ae16-40c8-add9-68b64b03aeba;#45;#NL|55c6556c-b4f4-441d-9acf-c498d4f838bd;#246;#ME|925b3da5-5ac0-4b3c-928c-6ef66a5c9b3c;#4;#EN|f2175f21-25d7-44a3-96da-d6a61b075e1b;#16;#PL|1e03da61-4678-4e07-b136-b5024ca9197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FR|d2afafd3-4c81-4f60-8f52-ee33f2f54ff3;IT|0774613c-01ed-4e5d-a25d-11d2388de825;MK|34ce48bb-063e-4413-a932-50853dc71c5c;EL|6d4f4d51-af9b-4650-94b4-4276bee85c91;CS|72f9705b-0217-4fd3-bea2-cbc7ed80e26e;FI|87606a43-d45f-42d6-b8c9-e1a3457db5b7;DA|5d49c027-8956-412b-aa16-e85a0f96ad0e;MT|7df99101-6854-4a26-b53a-b88c0da02c26;SQ|5ac17240-8d11-45ec-9893-659b209d7a00;TR|6e4ededd-04c4-4fa0-94e0-1028050302d5;SK|46d9fce0-ef79-4f71-b89b-cd6aa82426b8;SL|98a412ae-eb01-49e9-ae3d-585a81724cfc;BG|1a1b3951-7821-4e6a-85f5-5673fc08bd2c;SR|7f3a1d13-b985-4bfd-981e-afe31377edff;ES|e7a6b05b-ae16-40c8-add9-68b64b03aeba;NL|55c6556c-b4f4-441d-9acf-c498d4f838bd;ME|925b3da5-5ac0-4b3c-928c-6ef66a5c9b3c;EN|f2175f21-25d7-44a3-96da-d6a61b075e1b;PL|1e03da61-4678-4e07-b136-b5024ca9197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153;#SR|7f3a1d13-b985-4bfd-981e-afe31377edff;#25;#SK|46d9fce0-ef79-4f71-b89b-cd6aa82426b8;#55;#BG|1a1b3951-7821-4e6a-85f5-5673fc08bd2c;#63;#MT|7df99101-6854-4a26-b53a-b88c0da02c26;#62;#FI|87606a43-d45f-42d6-b8c9-e1a3457db5b7;#246;#ME|925b3da5-5ac0-4b3c-928c-6ef66a5c9b3c;#21;#IT|0774613c-01ed-4e5d-a25d-11d2388de825;#56;#SL|98a412ae-eb01-49e9-ae3d-585a81724cfc;#152;#MK|34ce48bb-063e-4413-a932-50853dc71c5c;#17;#ES|e7a6b05b-ae16-40c8-add9-68b64b03aeba;#16;#PL|1e03da61-4678-4e07-b136-b5024ca9197b;#52;#DA|5d49c027-8956-412b-aa16-e85a0f96ad0e;#162;#TR|6e4ededd-04c4-4fa0-94e0-1028050302d5;#49;#EL|6d4f4d51-af9b-4650-94b4-4276bee85c91;#11;#INFO|d9136e7c-93a9-4c42-9d28-92b61e85f80c;#10;#FR|d2afafd3-4c81-4f60-8f52-ee33f2f54ff3;#46;#CS|72f9705b-0217-4fd3-bea2-cbc7ed80e26e;#45;#NL|55c6556c-b4f4-441d-9acf-c498d4f838bd;#7;#Final|ea5e6674-7b27-4bac-b091-73adbb394efe;#154;#SQ|5ac17240-8d11-45ec-9893-659b209d7a00;#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38;#SV|c2ed69e7-a339-43d7-8f22-d93680a92aa0</vt:lpwstr>
  </property>
</Properties>
</file>